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2822" w14:textId="61CEAA0C" w:rsidR="009F17D2" w:rsidRDefault="009F17D2">
      <w:pPr>
        <w:pStyle w:val="Corpotesto"/>
        <w:ind w:left="163"/>
      </w:pPr>
    </w:p>
    <w:p w14:paraId="0387562D" w14:textId="77777777" w:rsidR="009F17D2" w:rsidRPr="008B6257" w:rsidRDefault="009F17D2" w:rsidP="008B6257">
      <w:pPr>
        <w:widowControl/>
        <w:adjustRightInd w:val="0"/>
        <w:jc w:val="center"/>
        <w:rPr>
          <w:rFonts w:ascii="Work Sans" w:hAnsi="Work Sans"/>
          <w:b/>
          <w:bCs/>
          <w:sz w:val="32"/>
          <w:szCs w:val="32"/>
          <w:lang w:val="en-US" w:eastAsia="it-IT"/>
        </w:rPr>
      </w:pPr>
    </w:p>
    <w:p w14:paraId="7A019FDC" w14:textId="77777777" w:rsidR="009F17D2" w:rsidRPr="006A26AF" w:rsidRDefault="008B6257" w:rsidP="008B6257">
      <w:pPr>
        <w:widowControl/>
        <w:adjustRightInd w:val="0"/>
        <w:jc w:val="center"/>
        <w:rPr>
          <w:rFonts w:ascii="Work Sans" w:hAnsi="Work Sans"/>
          <w:b/>
          <w:bCs/>
          <w:sz w:val="32"/>
          <w:szCs w:val="32"/>
          <w:lang w:eastAsia="it-IT"/>
        </w:rPr>
      </w:pPr>
      <w:r w:rsidRPr="006A26AF">
        <w:rPr>
          <w:rFonts w:ascii="Work Sans" w:hAnsi="Work Sans"/>
          <w:b/>
          <w:bCs/>
          <w:sz w:val="32"/>
          <w:szCs w:val="32"/>
          <w:lang w:eastAsia="it-IT"/>
        </w:rPr>
        <w:t>WEAVING CONNECTIONS:</w:t>
      </w:r>
    </w:p>
    <w:p w14:paraId="2DF33540" w14:textId="77777777" w:rsidR="008B6257" w:rsidRPr="006A26AF" w:rsidRDefault="008B6257" w:rsidP="008B6257">
      <w:pPr>
        <w:widowControl/>
        <w:adjustRightInd w:val="0"/>
        <w:jc w:val="center"/>
        <w:rPr>
          <w:rFonts w:ascii="Work Sans" w:hAnsi="Work Sans"/>
          <w:b/>
          <w:bCs/>
          <w:sz w:val="32"/>
          <w:szCs w:val="32"/>
          <w:lang w:eastAsia="it-IT"/>
        </w:rPr>
      </w:pPr>
      <w:r w:rsidRPr="006A26AF">
        <w:rPr>
          <w:rFonts w:ascii="Work Sans" w:hAnsi="Work Sans"/>
          <w:b/>
          <w:bCs/>
          <w:sz w:val="32"/>
          <w:szCs w:val="32"/>
          <w:lang w:eastAsia="it-IT"/>
        </w:rPr>
        <w:t xml:space="preserve">Alcantara con Verena Melgarejo Weinandt </w:t>
      </w:r>
    </w:p>
    <w:p w14:paraId="6DBC2AA5" w14:textId="091C7810" w:rsidR="008B6257" w:rsidRPr="006A26AF" w:rsidRDefault="008B6257" w:rsidP="008B6257">
      <w:pPr>
        <w:widowControl/>
        <w:adjustRightInd w:val="0"/>
        <w:jc w:val="center"/>
        <w:rPr>
          <w:rFonts w:ascii="Work Sans" w:hAnsi="Work Sans"/>
          <w:b/>
          <w:bCs/>
          <w:sz w:val="32"/>
          <w:szCs w:val="32"/>
          <w:lang w:eastAsia="it-IT"/>
        </w:rPr>
      </w:pPr>
      <w:r w:rsidRPr="006A26AF">
        <w:rPr>
          <w:rFonts w:ascii="Work Sans" w:hAnsi="Work Sans"/>
          <w:b/>
          <w:bCs/>
          <w:sz w:val="32"/>
          <w:szCs w:val="32"/>
          <w:lang w:eastAsia="it-IT"/>
        </w:rPr>
        <w:t>a Ocean Space, Venezia</w:t>
      </w:r>
    </w:p>
    <w:p w14:paraId="767BDEBA" w14:textId="77777777" w:rsidR="008B6257" w:rsidRPr="006A26AF" w:rsidRDefault="008B6257" w:rsidP="008B6257">
      <w:pPr>
        <w:widowControl/>
        <w:shd w:val="clear" w:color="auto" w:fill="FFFFFF"/>
        <w:autoSpaceDE/>
        <w:autoSpaceDN/>
        <w:spacing w:after="300" w:line="276" w:lineRule="auto"/>
        <w:rPr>
          <w:rFonts w:ascii="Work Sans" w:hAnsi="Work Sans"/>
          <w:lang w:eastAsia="it-IT"/>
        </w:rPr>
      </w:pPr>
    </w:p>
    <w:p w14:paraId="19FFA768" w14:textId="375F719B" w:rsidR="009F17D2" w:rsidRPr="008B6257" w:rsidRDefault="008B6257" w:rsidP="008B6257">
      <w:pPr>
        <w:widowControl/>
        <w:shd w:val="clear" w:color="auto" w:fill="FFFFFF"/>
        <w:autoSpaceDE/>
        <w:autoSpaceDN/>
        <w:spacing w:after="300" w:line="276" w:lineRule="auto"/>
        <w:rPr>
          <w:rFonts w:ascii="Work Sans" w:hAnsi="Work Sans"/>
          <w:lang w:eastAsia="it-IT"/>
        </w:rPr>
      </w:pPr>
      <w:r>
        <w:rPr>
          <w:rFonts w:ascii="Work Sans" w:hAnsi="Work Sans"/>
          <w:lang w:eastAsia="it-IT"/>
        </w:rPr>
        <w:t xml:space="preserve">Venezia, 27 Marzo, 2026 - </w:t>
      </w:r>
      <w:r w:rsidRPr="008B6257">
        <w:rPr>
          <w:rFonts w:ascii="Work Sans" w:hAnsi="Work Sans"/>
          <w:lang w:eastAsia="it-IT"/>
        </w:rPr>
        <w:t xml:space="preserve">Alcantara conferma il proprio ruolo di partner chiave della scena artistica internazionale sostenendo la produzione di </w:t>
      </w:r>
      <w:r w:rsidRPr="008B6257">
        <w:rPr>
          <w:rFonts w:ascii="Work Sans" w:hAnsi="Work Sans"/>
          <w:b/>
          <w:bCs/>
          <w:lang w:eastAsia="it-IT"/>
        </w:rPr>
        <w:t>Weaving Connections di Verena Melgarejo Weinandt</w:t>
      </w:r>
      <w:r w:rsidRPr="008B6257">
        <w:rPr>
          <w:rFonts w:ascii="Work Sans" w:hAnsi="Work Sans"/>
          <w:lang w:eastAsia="it-IT"/>
        </w:rPr>
        <w:t xml:space="preserve"> all’interno della mostra </w:t>
      </w:r>
      <w:r w:rsidRPr="008B6257">
        <w:rPr>
          <w:rFonts w:ascii="Work Sans" w:hAnsi="Work Sans"/>
          <w:b/>
          <w:bCs/>
          <w:lang w:eastAsia="it-IT"/>
        </w:rPr>
        <w:t>Tide of Returns</w:t>
      </w:r>
      <w:r w:rsidRPr="008B6257">
        <w:rPr>
          <w:rFonts w:ascii="Work Sans" w:hAnsi="Work Sans"/>
          <w:lang w:eastAsia="it-IT"/>
        </w:rPr>
        <w:t xml:space="preserve"> </w:t>
      </w:r>
      <w:r>
        <w:rPr>
          <w:rFonts w:ascii="Work Sans" w:hAnsi="Work Sans"/>
          <w:lang w:eastAsia="it-IT"/>
        </w:rPr>
        <w:t>(</w:t>
      </w:r>
      <w:r w:rsidRPr="008B6257">
        <w:rPr>
          <w:rFonts w:ascii="Work Sans" w:hAnsi="Work Sans"/>
          <w:lang w:eastAsia="it-IT"/>
        </w:rPr>
        <w:t>Onde di Ritorni</w:t>
      </w:r>
      <w:r>
        <w:rPr>
          <w:rFonts w:ascii="Work Sans" w:hAnsi="Work Sans"/>
          <w:lang w:eastAsia="it-IT"/>
        </w:rPr>
        <w:t xml:space="preserve">) </w:t>
      </w:r>
      <w:r w:rsidRPr="008B6257">
        <w:rPr>
          <w:rFonts w:ascii="Work Sans" w:hAnsi="Work Sans"/>
          <w:lang w:eastAsia="it-IT"/>
        </w:rPr>
        <w:t>presso Ocean Space a Venezia (28 marzo – 11 ottobre 2026).</w:t>
      </w:r>
    </w:p>
    <w:p w14:paraId="68AB5479" w14:textId="39DF2510" w:rsidR="009F17D2" w:rsidRPr="008B6257" w:rsidRDefault="008B6257" w:rsidP="008B6257">
      <w:pPr>
        <w:widowControl/>
        <w:shd w:val="clear" w:color="auto" w:fill="FFFFFF"/>
        <w:autoSpaceDE/>
        <w:autoSpaceDN/>
        <w:spacing w:after="300" w:line="276" w:lineRule="auto"/>
        <w:rPr>
          <w:rFonts w:ascii="Work Sans" w:hAnsi="Work Sans"/>
          <w:lang w:eastAsia="it-IT"/>
        </w:rPr>
      </w:pPr>
      <w:r w:rsidRPr="008B6257">
        <w:rPr>
          <w:rFonts w:ascii="Work Sans" w:hAnsi="Work Sans"/>
          <w:lang w:eastAsia="it-IT"/>
        </w:rPr>
        <w:t xml:space="preserve">Weaving Connections, commissionata e prodotta da </w:t>
      </w:r>
      <w:r w:rsidRPr="008B6257">
        <w:rPr>
          <w:rFonts w:ascii="Work Sans" w:hAnsi="Work Sans"/>
          <w:b/>
          <w:bCs/>
          <w:lang w:eastAsia="it-IT"/>
        </w:rPr>
        <w:t>TBA21–Academy</w:t>
      </w:r>
      <w:r w:rsidRPr="008B6257">
        <w:rPr>
          <w:rFonts w:ascii="Work Sans" w:hAnsi="Work Sans"/>
          <w:lang w:eastAsia="it-IT"/>
        </w:rPr>
        <w:t xml:space="preserve">, è una delle due installazioni site-specific presentate dal </w:t>
      </w:r>
      <w:r w:rsidRPr="008B6257">
        <w:rPr>
          <w:rFonts w:ascii="Work Sans" w:hAnsi="Work Sans"/>
          <w:b/>
          <w:bCs/>
          <w:lang w:eastAsia="it-IT"/>
        </w:rPr>
        <w:t>Repatriates Collective</w:t>
      </w:r>
      <w:r w:rsidRPr="008B6257">
        <w:rPr>
          <w:rFonts w:ascii="Work Sans" w:hAnsi="Work Sans"/>
          <w:lang w:eastAsia="it-IT"/>
        </w:rPr>
        <w:t xml:space="preserve"> — un gruppo di artiste/i provenienti dal Pacifico settentrionale dell’Australia, Africa meridionale e occidentale, Europa e America Latina — che esplorano il ruolo dell’arte e dell’acqua nei processi di restituzione culturale e rimpatrio.</w:t>
      </w:r>
    </w:p>
    <w:p w14:paraId="6A36D8BD" w14:textId="409DA0FE" w:rsidR="009F17D2" w:rsidRPr="006A26AF" w:rsidRDefault="008B6257" w:rsidP="008B6257">
      <w:pPr>
        <w:widowControl/>
        <w:shd w:val="clear" w:color="auto" w:fill="FFFFFF"/>
        <w:autoSpaceDE/>
        <w:autoSpaceDN/>
        <w:spacing w:after="300" w:line="276" w:lineRule="auto"/>
        <w:rPr>
          <w:rFonts w:ascii="Work Sans" w:hAnsi="Work Sans"/>
          <w:lang w:eastAsia="it-IT"/>
        </w:rPr>
      </w:pPr>
      <w:r w:rsidRPr="008B6257">
        <w:rPr>
          <w:rFonts w:ascii="Work Sans" w:hAnsi="Work Sans"/>
          <w:lang w:eastAsia="it-IT"/>
        </w:rPr>
        <w:t xml:space="preserve">La mostra si estende in entrambe le ali dell’ex Chiesa di San Lorenzo con nuove opere multimediali commissionate. </w:t>
      </w:r>
      <w:r w:rsidRPr="006A26AF">
        <w:rPr>
          <w:rFonts w:ascii="Work Sans" w:hAnsi="Work Sans"/>
          <w:lang w:eastAsia="it-IT"/>
        </w:rPr>
        <w:t>Nell’ala ovest, il Repatriates Collective accoglie i visitatori in un’installazione immersiva che combina sabbia, migliaia di elementi realizzati con conchiglie e tessuti, video e suono. Nell’ala est, l’installazione di Verena Melgarejo Weinandt traccia gesti di cura, appartenenza e guarigione collettiva.</w:t>
      </w:r>
    </w:p>
    <w:p w14:paraId="246EA2C5" w14:textId="7A36035E" w:rsidR="009F17D2" w:rsidRPr="006A26AF" w:rsidRDefault="008B6257" w:rsidP="008B6257">
      <w:pPr>
        <w:widowControl/>
        <w:shd w:val="clear" w:color="auto" w:fill="FFFFFF"/>
        <w:autoSpaceDE/>
        <w:autoSpaceDN/>
        <w:spacing w:after="300" w:line="276" w:lineRule="auto"/>
        <w:rPr>
          <w:rFonts w:ascii="Work Sans" w:hAnsi="Work Sans"/>
          <w:lang w:eastAsia="it-IT"/>
        </w:rPr>
      </w:pPr>
      <w:r w:rsidRPr="008B6257">
        <w:rPr>
          <w:rFonts w:ascii="Work Sans" w:hAnsi="Work Sans"/>
          <w:lang w:eastAsia="it-IT"/>
        </w:rPr>
        <w:t xml:space="preserve">All’interno di questo contesto, </w:t>
      </w:r>
      <w:r w:rsidRPr="008B6257">
        <w:rPr>
          <w:rFonts w:ascii="Work Sans" w:hAnsi="Work Sans"/>
          <w:b/>
          <w:bCs/>
          <w:lang w:eastAsia="it-IT"/>
        </w:rPr>
        <w:t>Alcantara diventa il mezzo attraverso cui Verena Melgarejo Weinandt dà forma alla propria visione</w:t>
      </w:r>
      <w:r w:rsidRPr="008B6257">
        <w:rPr>
          <w:rFonts w:ascii="Work Sans" w:hAnsi="Work Sans"/>
          <w:lang w:eastAsia="it-IT"/>
        </w:rPr>
        <w:t xml:space="preserve">. </w:t>
      </w:r>
      <w:r w:rsidRPr="006A26AF">
        <w:rPr>
          <w:rFonts w:ascii="Work Sans" w:hAnsi="Work Sans"/>
          <w:lang w:eastAsia="it-IT"/>
        </w:rPr>
        <w:t>L’installazione presenta una lunga treccia realizzata in Alcantara, creata in tonalità scure e profonde che evocano il fluire dell’acqua e simboleggiano il legame con le diverse comunità indigene connesse all’opera. La grande treccia nera prenderà vita a Venezia attraverso una performance legata all’identità acquatica della città, con performer che indosseranno capi realizzati in Alcantara nelle tonalità del verde chiaro e del blu. All’interno del paesaggio tattile, un video a tre canali segue una routine di preparazione, intreccio e lavaggio delle tessiture in un fiume.</w:t>
      </w:r>
    </w:p>
    <w:p w14:paraId="4367379B" w14:textId="7502E4CB" w:rsidR="009F17D2" w:rsidRPr="006A26AF" w:rsidRDefault="008B6257" w:rsidP="008B6257">
      <w:pPr>
        <w:widowControl/>
        <w:shd w:val="clear" w:color="auto" w:fill="FFFFFF"/>
        <w:autoSpaceDE/>
        <w:autoSpaceDN/>
        <w:spacing w:after="300" w:line="276" w:lineRule="auto"/>
        <w:rPr>
          <w:rFonts w:ascii="Work Sans" w:hAnsi="Work Sans"/>
          <w:lang w:eastAsia="it-IT"/>
        </w:rPr>
      </w:pPr>
      <w:r w:rsidRPr="008B6257">
        <w:rPr>
          <w:rFonts w:ascii="Work Sans" w:hAnsi="Work Sans"/>
          <w:lang w:eastAsia="it-IT"/>
        </w:rPr>
        <w:t xml:space="preserve">Dal 2011 Alcantara ha sviluppato collaborazioni con artisti e musei in tutto il mondo, offrendo una piattaforma a creativi, architetti e designer per esprimere le proprie visioni, rimanendo fedele al DNA dell’azienda: un materiale che unisce tecnologia, funzionalità, emozione, versatilità e un impegno certificato verso la sostenibilità. </w:t>
      </w:r>
      <w:r w:rsidRPr="006A26AF">
        <w:rPr>
          <w:rFonts w:ascii="Work Sans" w:hAnsi="Work Sans"/>
          <w:lang w:eastAsia="it-IT"/>
        </w:rPr>
        <w:t>Certificata carbon neutral dal 2009, Alcantara incarna una visione in linea con la missione di TBA21 di proteggere i sistemi viventi che sostiene. Questa partnership riflette un impegno condiviso verso arte, design e creatività, consentendo agli artisti di esprimere liberamente la propria visione artistica.</w:t>
      </w:r>
    </w:p>
    <w:p w14:paraId="69CD1F8E" w14:textId="77777777" w:rsidR="009F17D2" w:rsidRDefault="009F17D2">
      <w:pPr>
        <w:pStyle w:val="Corpotesto"/>
        <w:spacing w:before="60"/>
      </w:pPr>
    </w:p>
    <w:p w14:paraId="0ECA79CD" w14:textId="77777777" w:rsidR="008B6257" w:rsidRDefault="008B6257">
      <w:pPr>
        <w:pStyle w:val="Corpotesto"/>
        <w:spacing w:before="60"/>
      </w:pPr>
    </w:p>
    <w:p w14:paraId="4D5D6279" w14:textId="77777777" w:rsidR="008B6257" w:rsidRDefault="008B6257">
      <w:pPr>
        <w:pStyle w:val="Corpotesto"/>
        <w:spacing w:before="60"/>
      </w:pPr>
    </w:p>
    <w:p w14:paraId="5B5AB04A" w14:textId="77777777" w:rsidR="008B6257" w:rsidRDefault="008B6257">
      <w:pPr>
        <w:pStyle w:val="Corpotesto"/>
        <w:spacing w:before="60"/>
      </w:pPr>
    </w:p>
    <w:p w14:paraId="01C6A68B" w14:textId="77777777" w:rsidR="008B6257" w:rsidRDefault="008B6257">
      <w:pPr>
        <w:pStyle w:val="Corpotesto"/>
        <w:spacing w:before="60"/>
      </w:pPr>
    </w:p>
    <w:p w14:paraId="56CE3031" w14:textId="77777777" w:rsidR="008B6257" w:rsidRDefault="008B6257">
      <w:pPr>
        <w:pStyle w:val="Corpotesto"/>
        <w:spacing w:before="60"/>
      </w:pPr>
    </w:p>
    <w:p w14:paraId="2498C548" w14:textId="77777777" w:rsidR="008B6257" w:rsidRDefault="008B6257">
      <w:pPr>
        <w:pStyle w:val="Corpotesto"/>
        <w:spacing w:before="60"/>
      </w:pPr>
    </w:p>
    <w:p w14:paraId="7D407A27" w14:textId="1B19E70D" w:rsidR="009F17D2" w:rsidRDefault="008B6257">
      <w:pPr>
        <w:ind w:left="93"/>
        <w:rPr>
          <w:rFonts w:ascii="Arial" w:hAnsi="Arial"/>
          <w:b/>
          <w:sz w:val="16"/>
        </w:rPr>
      </w:pPr>
      <w:r>
        <w:rPr>
          <w:b/>
          <w:sz w:val="18"/>
        </w:rPr>
        <w:t>About Alcantara S.p.A</w:t>
      </w:r>
      <w:r>
        <w:rPr>
          <w:rFonts w:ascii="Arial" w:hAnsi="Arial"/>
          <w:b/>
          <w:sz w:val="16"/>
        </w:rPr>
        <w:t>.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–</w:t>
      </w:r>
      <w:r>
        <w:rPr>
          <w:rFonts w:ascii="Arial" w:hAnsi="Arial"/>
          <w:b/>
          <w:spacing w:val="-1"/>
          <w:sz w:val="16"/>
        </w:rPr>
        <w:t xml:space="preserve"> </w:t>
      </w:r>
      <w:hyperlink r:id="rId6">
        <w:r>
          <w:rPr>
            <w:rFonts w:ascii="Arial" w:hAnsi="Arial"/>
            <w:b/>
            <w:color w:val="0000FF"/>
            <w:spacing w:val="-2"/>
            <w:sz w:val="16"/>
            <w:u w:val="single" w:color="0000FF"/>
          </w:rPr>
          <w:t>www.alcantara.com</w:t>
        </w:r>
      </w:hyperlink>
    </w:p>
    <w:p w14:paraId="2D9B15C4" w14:textId="77777777" w:rsidR="009F17D2" w:rsidRPr="006A26AF" w:rsidRDefault="008B6257">
      <w:pPr>
        <w:spacing w:before="32" w:line="276" w:lineRule="auto"/>
        <w:ind w:left="93" w:right="83"/>
        <w:rPr>
          <w:rFonts w:ascii="Work Sans" w:eastAsia="Work Sans" w:hAnsi="Work Sans" w:cs="Work Sans"/>
          <w:sz w:val="18"/>
          <w:szCs w:val="18"/>
          <w:lang w:eastAsia="it-IT"/>
        </w:rPr>
      </w:pPr>
      <w:r w:rsidRPr="006A26AF">
        <w:rPr>
          <w:rFonts w:ascii="Work Sans" w:eastAsia="Work Sans" w:hAnsi="Work Sans" w:cs="Work Sans"/>
          <w:sz w:val="18"/>
          <w:szCs w:val="18"/>
          <w:lang w:eastAsia="it-IT"/>
        </w:rPr>
        <w:t>Fondata nel 1972, Alcantara rappresenta uno dei principali marchi del Made in Italy. Marchio registrato di Alcantara S.p.A. e frutto di una tecnologia unica e proprietaria, Alcantara® è un materiale altamente innovativo che offre una combinazione senza pari di qualità sensoriali, estetiche e funzionali. Grazie alla sua straordinaria versatilità, Alcantara è il materiale scelto dai principali brand in numerosi ambiti applicativi: moda e accessori, industria automobilistica, interior design, arredamento e elettronica di consumo. Queste caratteristiche, unite a un impegno serio e certificato verso la sostenibilità, fanno sì che Alcantara esprima e definisca lo stile di vita contemporaneo. Alcantara è carbon neutral dal 2009. La certificazione di neutralità carbonica si basa sulla compensazione delle</w:t>
      </w:r>
    </w:p>
    <w:p w14:paraId="319ED3C0" w14:textId="77777777" w:rsidR="009F17D2" w:rsidRPr="006A26AF" w:rsidRDefault="008B6257">
      <w:pPr>
        <w:spacing w:line="276" w:lineRule="auto"/>
        <w:ind w:left="93" w:right="191"/>
        <w:jc w:val="both"/>
        <w:rPr>
          <w:rFonts w:ascii="Work Sans" w:eastAsia="Work Sans" w:hAnsi="Work Sans" w:cs="Work Sans"/>
          <w:sz w:val="18"/>
          <w:szCs w:val="18"/>
          <w:lang w:eastAsia="it-IT"/>
        </w:rPr>
      </w:pPr>
      <w:r w:rsidRPr="006A26AF">
        <w:rPr>
          <w:rFonts w:ascii="Work Sans" w:eastAsia="Work Sans" w:hAnsi="Work Sans" w:cs="Work Sans"/>
          <w:sz w:val="18"/>
          <w:szCs w:val="18"/>
          <w:lang w:eastAsia="it-IT"/>
        </w:rPr>
        <w:t>emissioni di gas serra attraverso l’acquisizione di crediti di carbonio provenienti da progetti certificati e verificati. Pur riconoscendo che la compensazione non rappresenta la soluzione definitiva, riteniamo che i crediti di carbonio siano uno strumento utile per accelerare la lotta contro il cambiamento climatico oltre la nostra catena del valore e per ridurre in modo misurabile le emissioni globali. Inoltre, i</w:t>
      </w:r>
    </w:p>
    <w:p w14:paraId="352E3488" w14:textId="77777777" w:rsidR="009F17D2" w:rsidRPr="006A26AF" w:rsidRDefault="008B6257">
      <w:pPr>
        <w:spacing w:line="276" w:lineRule="auto"/>
        <w:ind w:left="93" w:right="95"/>
        <w:jc w:val="both"/>
        <w:rPr>
          <w:rFonts w:ascii="Work Sans" w:eastAsia="Work Sans" w:hAnsi="Work Sans" w:cs="Work Sans"/>
          <w:sz w:val="18"/>
          <w:szCs w:val="18"/>
          <w:lang w:eastAsia="it-IT"/>
        </w:rPr>
      </w:pPr>
      <w:r w:rsidRPr="006A26AF">
        <w:rPr>
          <w:rFonts w:ascii="Work Sans" w:eastAsia="Work Sans" w:hAnsi="Work Sans" w:cs="Work Sans"/>
          <w:sz w:val="18"/>
          <w:szCs w:val="18"/>
          <w:lang w:eastAsia="it-IT"/>
        </w:rPr>
        <w:t>progetti sostenuti ogni anno da Alcantara generano benefici sociali concreti per i territori coinvolti. Per documentare i progressi in questo ambito, Alcantara redige e pubblica annualmente un Report di Sostenibilità, certificato da EY e disponibile sul sito aziendale.</w:t>
      </w:r>
    </w:p>
    <w:p w14:paraId="48A21FB2" w14:textId="77777777" w:rsidR="009F17D2" w:rsidRPr="006A26AF" w:rsidRDefault="008B6257">
      <w:pPr>
        <w:spacing w:line="276" w:lineRule="auto"/>
        <w:ind w:left="93" w:right="420"/>
        <w:jc w:val="both"/>
        <w:rPr>
          <w:rFonts w:ascii="Work Sans" w:eastAsia="Work Sans" w:hAnsi="Work Sans" w:cs="Work Sans"/>
          <w:sz w:val="18"/>
          <w:szCs w:val="18"/>
          <w:lang w:eastAsia="it-IT"/>
        </w:rPr>
      </w:pPr>
      <w:r w:rsidRPr="006A26AF">
        <w:rPr>
          <w:rFonts w:ascii="Work Sans" w:eastAsia="Work Sans" w:hAnsi="Work Sans" w:cs="Work Sans"/>
          <w:sz w:val="18"/>
          <w:szCs w:val="18"/>
          <w:lang w:eastAsia="it-IT"/>
        </w:rPr>
        <w:t>La sede di Alcantara si trova a Milano, mentre lo stabilimento produttivo e il centro di ricerca sono situati a Nera Montoro, nel cuore dell’Umbria (Terni).</w:t>
      </w:r>
    </w:p>
    <w:p w14:paraId="41BA78F1" w14:textId="77777777" w:rsidR="008B6257" w:rsidRDefault="008B6257" w:rsidP="008B6257">
      <w:pPr>
        <w:rPr>
          <w:sz w:val="18"/>
        </w:rPr>
      </w:pPr>
    </w:p>
    <w:p w14:paraId="0CFA733D" w14:textId="77777777" w:rsidR="008B6257" w:rsidRDefault="008B6257" w:rsidP="008B6257">
      <w:pPr>
        <w:rPr>
          <w:sz w:val="18"/>
        </w:rPr>
      </w:pPr>
    </w:p>
    <w:p w14:paraId="154FFBF7" w14:textId="77777777" w:rsidR="008B6257" w:rsidRDefault="008B6257" w:rsidP="008B6257">
      <w:pPr>
        <w:rPr>
          <w:sz w:val="18"/>
        </w:rPr>
      </w:pPr>
    </w:p>
    <w:p w14:paraId="795BC379" w14:textId="7F23A3CD" w:rsidR="008B6257" w:rsidRPr="008B6257" w:rsidRDefault="008B6257" w:rsidP="008B6257">
      <w:pPr>
        <w:rPr>
          <w:rFonts w:ascii="Work Sans" w:eastAsia="Work Sans" w:hAnsi="Work Sans" w:cs="Work Sans"/>
          <w:sz w:val="18"/>
          <w:szCs w:val="18"/>
          <w:lang w:eastAsia="it-IT"/>
        </w:rPr>
      </w:pPr>
      <w:r w:rsidRPr="008B6257">
        <w:rPr>
          <w:rFonts w:ascii="Work Sans" w:eastAsia="Work Sans" w:hAnsi="Work Sans" w:cs="Work Sans"/>
          <w:sz w:val="18"/>
          <w:szCs w:val="18"/>
          <w:lang w:eastAsia="it-IT"/>
        </w:rPr>
        <w:t xml:space="preserve">Per maggiori informazioni: </w:t>
      </w:r>
    </w:p>
    <w:p w14:paraId="39611D8D" w14:textId="572D211A" w:rsidR="008B6257" w:rsidRPr="008B6257" w:rsidRDefault="008B6257" w:rsidP="008B6257">
      <w:pPr>
        <w:rPr>
          <w:rFonts w:ascii="Work Sans" w:eastAsia="Work Sans" w:hAnsi="Work Sans" w:cs="Work Sans"/>
          <w:sz w:val="18"/>
          <w:szCs w:val="18"/>
        </w:rPr>
      </w:pPr>
      <w:r w:rsidRPr="008B6257">
        <w:rPr>
          <w:rFonts w:ascii="Work Sans" w:eastAsia="Work Sans" w:hAnsi="Work Sans" w:cs="Work Sans"/>
          <w:sz w:val="18"/>
          <w:szCs w:val="18"/>
        </w:rPr>
        <w:t>instagram.com/alcantara_company/</w:t>
      </w:r>
    </w:p>
    <w:p w14:paraId="5DB78E2D" w14:textId="77777777" w:rsidR="008B6257" w:rsidRPr="00450283" w:rsidRDefault="008B6257" w:rsidP="008B6257">
      <w:pPr>
        <w:rPr>
          <w:rFonts w:ascii="Work Sans" w:eastAsia="Work Sans" w:hAnsi="Work Sans" w:cs="Work Sans"/>
          <w:sz w:val="18"/>
          <w:szCs w:val="18"/>
          <w:lang w:val="en-US"/>
        </w:rPr>
      </w:pPr>
      <w:r w:rsidRPr="00450283">
        <w:rPr>
          <w:rFonts w:ascii="Work Sans" w:eastAsia="Work Sans" w:hAnsi="Work Sans" w:cs="Work Sans"/>
          <w:sz w:val="18"/>
          <w:szCs w:val="18"/>
          <w:lang w:val="en-US"/>
        </w:rPr>
        <w:t>facebook.com/alcantara.company</w:t>
      </w:r>
    </w:p>
    <w:p w14:paraId="65D63A06" w14:textId="77777777" w:rsidR="008B6257" w:rsidRPr="00450283" w:rsidRDefault="008B6257" w:rsidP="008B6257">
      <w:pPr>
        <w:rPr>
          <w:rFonts w:ascii="Work Sans" w:eastAsia="Work Sans" w:hAnsi="Work Sans" w:cs="Work Sans"/>
          <w:sz w:val="18"/>
          <w:szCs w:val="18"/>
          <w:lang w:val="en-US"/>
        </w:rPr>
      </w:pPr>
      <w:r w:rsidRPr="00450283">
        <w:rPr>
          <w:rFonts w:ascii="Work Sans" w:eastAsia="Work Sans" w:hAnsi="Work Sans" w:cs="Work Sans"/>
          <w:sz w:val="18"/>
          <w:szCs w:val="18"/>
          <w:lang w:val="en-US"/>
        </w:rPr>
        <w:t>youtube.com/alcantaracompany</w:t>
      </w:r>
    </w:p>
    <w:p w14:paraId="667CE4AD" w14:textId="77777777" w:rsidR="008B6257" w:rsidRPr="00450283" w:rsidRDefault="008B6257" w:rsidP="008B6257">
      <w:pPr>
        <w:rPr>
          <w:rFonts w:ascii="Work Sans" w:eastAsia="Work Sans" w:hAnsi="Work Sans" w:cs="Work Sans"/>
          <w:sz w:val="18"/>
          <w:szCs w:val="18"/>
          <w:lang w:val="en-US"/>
        </w:rPr>
      </w:pPr>
    </w:p>
    <w:p w14:paraId="605D9B49" w14:textId="77777777" w:rsidR="008B6257" w:rsidRPr="00450283" w:rsidRDefault="008B6257" w:rsidP="008B6257">
      <w:pPr>
        <w:rPr>
          <w:rFonts w:ascii="Work Sans" w:eastAsia="Work Sans" w:hAnsi="Work Sans" w:cs="Work Sans"/>
          <w:sz w:val="18"/>
          <w:szCs w:val="18"/>
          <w:lang w:val="en-US"/>
        </w:rPr>
      </w:pPr>
      <w:r w:rsidRPr="00450283">
        <w:rPr>
          <w:rFonts w:ascii="Work Sans" w:eastAsia="Work Sans" w:hAnsi="Work Sans" w:cs="Work Sans"/>
          <w:sz w:val="18"/>
          <w:szCs w:val="18"/>
          <w:lang w:val="en-US"/>
        </w:rPr>
        <w:t>Press kit: https://www.alcantara.com/press-area/</w:t>
      </w:r>
    </w:p>
    <w:p w14:paraId="2ED813AF" w14:textId="021B2294" w:rsidR="009F17D2" w:rsidRPr="008B6257" w:rsidRDefault="009F17D2" w:rsidP="008B6257">
      <w:pPr>
        <w:spacing w:before="160" w:line="252" w:lineRule="auto"/>
        <w:ind w:left="93" w:right="3192"/>
        <w:rPr>
          <w:sz w:val="18"/>
          <w:lang w:val="en-US"/>
        </w:rPr>
      </w:pPr>
    </w:p>
    <w:sectPr w:rsidR="009F17D2" w:rsidRPr="008B6257">
      <w:headerReference w:type="default" r:id="rId7"/>
      <w:type w:val="continuous"/>
      <w:pgSz w:w="11920" w:h="16840"/>
      <w:pgMar w:top="1600" w:right="992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8F8B3" w14:textId="77777777" w:rsidR="008B6257" w:rsidRDefault="008B6257" w:rsidP="008B6257">
      <w:r>
        <w:separator/>
      </w:r>
    </w:p>
  </w:endnote>
  <w:endnote w:type="continuationSeparator" w:id="0">
    <w:p w14:paraId="4928CF1E" w14:textId="77777777" w:rsidR="008B6257" w:rsidRDefault="008B6257" w:rsidP="008B6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5010F" w14:textId="77777777" w:rsidR="008B6257" w:rsidRDefault="008B6257" w:rsidP="008B6257">
      <w:r>
        <w:separator/>
      </w:r>
    </w:p>
  </w:footnote>
  <w:footnote w:type="continuationSeparator" w:id="0">
    <w:p w14:paraId="4BAF52E6" w14:textId="77777777" w:rsidR="008B6257" w:rsidRDefault="008B6257" w:rsidP="008B6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1702" w14:textId="7489B5FB" w:rsidR="008B6257" w:rsidRDefault="008B6257">
    <w:pPr>
      <w:pStyle w:val="Intestazione"/>
    </w:pPr>
    <w:r w:rsidRPr="00760496">
      <w:rPr>
        <w:noProof/>
      </w:rPr>
      <w:drawing>
        <wp:anchor distT="0" distB="0" distL="114300" distR="114300" simplePos="0" relativeHeight="251659264" behindDoc="1" locked="0" layoutInCell="1" allowOverlap="1" wp14:anchorId="62174150" wp14:editId="7EB8D4A6">
          <wp:simplePos x="0" y="0"/>
          <wp:positionH relativeFrom="margin">
            <wp:posOffset>1549400</wp:posOffset>
          </wp:positionH>
          <wp:positionV relativeFrom="paragraph">
            <wp:posOffset>215900</wp:posOffset>
          </wp:positionV>
          <wp:extent cx="3295650" cy="703580"/>
          <wp:effectExtent l="0" t="0" r="0" b="127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335" t="29044" r="21480" b="28954"/>
                  <a:stretch/>
                </pic:blipFill>
                <pic:spPr bwMode="auto">
                  <a:xfrm>
                    <a:off x="0" y="0"/>
                    <a:ext cx="3295650" cy="703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17D2"/>
    <w:rsid w:val="004143F7"/>
    <w:rsid w:val="006A26AF"/>
    <w:rsid w:val="008B6257"/>
    <w:rsid w:val="009F17D2"/>
    <w:rsid w:val="00A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71F5D4"/>
  <w15:docId w15:val="{DEA6D6C5-F250-4C70-A8DF-2D18BA18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2623" w:right="2620"/>
      <w:jc w:val="center"/>
    </w:pPr>
    <w:rPr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B62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625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B62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625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cantara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669</Words>
  <Characters>3817</Characters>
  <Application>Microsoft Office Word</Application>
  <DocSecurity>0</DocSecurity>
  <Lines>31</Lines>
  <Paragraphs>8</Paragraphs>
  <ScaleCrop>false</ScaleCrop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ALCANTARA ITA</dc:title>
  <cp:lastModifiedBy>Traviglia Federica</cp:lastModifiedBy>
  <cp:revision>3</cp:revision>
  <dcterms:created xsi:type="dcterms:W3CDTF">2026-03-26T15:32:00Z</dcterms:created>
  <dcterms:modified xsi:type="dcterms:W3CDTF">2026-03-26T16:44:00Z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2026-03-26T00:00:00Z</vt:filetime>
  </property>
  <property fmtid="{D5CDD505-2E9C-101B-9397-08002B2CF9AE}" pid="3" name="Producer">
    <vt:lpwstr>Skia/PDF m148 Google Docs Renderer</vt:lpwstr>
  </property>
  <property fmtid="{D5CDD505-2E9C-101B-9397-08002B2CF9AE}" pid="4" name="LastSaved">
    <vt:filetime>2026-03-26T00:00:00Z</vt:filetime>
  </property>
</Properties>
</file>